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957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left"/>
        <w:textAlignment w:val="auto"/>
        <w:rPr>
          <w:rFonts w:hint="default" w:ascii="Times New Roman" w:hAnsi="Times New Roman" w:eastAsia="FangSong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附件：</w:t>
      </w:r>
    </w:p>
    <w:p w14:paraId="76F672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2026汽车产业供应链协同创新对接大会</w:t>
      </w:r>
    </w:p>
    <w:p w14:paraId="79A543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参会信息表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6625"/>
      </w:tblGrid>
      <w:tr w14:paraId="2049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3A8182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企业全称</w:t>
            </w:r>
          </w:p>
        </w:tc>
        <w:tc>
          <w:tcPr>
            <w:tcW w:w="7053" w:type="dxa"/>
            <w:noWrap w:val="0"/>
            <w:vAlign w:val="center"/>
          </w:tcPr>
          <w:p w14:paraId="27AECA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31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6D01A8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参会代表姓名</w:t>
            </w:r>
          </w:p>
        </w:tc>
        <w:tc>
          <w:tcPr>
            <w:tcW w:w="7053" w:type="dxa"/>
            <w:noWrap w:val="0"/>
            <w:vAlign w:val="center"/>
          </w:tcPr>
          <w:p w14:paraId="599353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99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2959E3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参会代表职务</w:t>
            </w:r>
          </w:p>
        </w:tc>
        <w:tc>
          <w:tcPr>
            <w:tcW w:w="7053" w:type="dxa"/>
            <w:noWrap w:val="0"/>
            <w:vAlign w:val="center"/>
          </w:tcPr>
          <w:p w14:paraId="268A8C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27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4CC9FB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053" w:type="dxa"/>
            <w:noWrap w:val="0"/>
            <w:vAlign w:val="center"/>
          </w:tcPr>
          <w:p w14:paraId="26267A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D8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00B838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7053" w:type="dxa"/>
            <w:noWrap w:val="0"/>
            <w:vAlign w:val="center"/>
          </w:tcPr>
          <w:p w14:paraId="63DE5C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4CC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69E533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参会身份</w:t>
            </w:r>
          </w:p>
        </w:tc>
        <w:tc>
          <w:tcPr>
            <w:tcW w:w="7053" w:type="dxa"/>
            <w:noWrap w:val="0"/>
            <w:vAlign w:val="top"/>
          </w:tcPr>
          <w:p w14:paraId="10ED24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整车企业</w:t>
            </w:r>
          </w:p>
          <w:p w14:paraId="304F62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一级供应商 (Tier1)</w:t>
            </w:r>
          </w:p>
          <w:p w14:paraId="6E15E4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二级供应商 (Tier2)</w:t>
            </w:r>
          </w:p>
          <w:p w14:paraId="07D122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三级供应商 (Tier3)</w:t>
            </w:r>
          </w:p>
          <w:p w14:paraId="728AE0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四级供应商 (Tier4)</w:t>
            </w:r>
          </w:p>
          <w:p w14:paraId="72E6DC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其他</w:t>
            </w:r>
          </w:p>
        </w:tc>
      </w:tr>
      <w:tr w14:paraId="552B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7" w:type="dxa"/>
            <w:noWrap w:val="0"/>
            <w:vAlign w:val="center"/>
          </w:tcPr>
          <w:p w14:paraId="2331EE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产品采购需求分类</w:t>
            </w:r>
          </w:p>
        </w:tc>
        <w:tc>
          <w:tcPr>
            <w:tcW w:w="7053" w:type="dxa"/>
            <w:noWrap w:val="0"/>
            <w:vAlign w:val="top"/>
          </w:tcPr>
          <w:p w14:paraId="467BC7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动力系统类 (发动机、变速器、进排气、燃油系统等)</w:t>
            </w:r>
          </w:p>
          <w:p w14:paraId="5A520B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底盘系统类 (传动、行驶、转向、制动、悬架等)</w:t>
            </w:r>
          </w:p>
          <w:p w14:paraId="3DB068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车身系统类 (车门、座椅、内外饰、玻璃等)</w:t>
            </w:r>
          </w:p>
          <w:p w14:paraId="55A98A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电子电气类 (控制器、车载娱乐、导航、传感器、线束等)</w:t>
            </w:r>
          </w:p>
          <w:p w14:paraId="6F0926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新能源汽车专用部件 (动力电池、驱动电机、电控系统 (“三电”) 等)</w:t>
            </w:r>
          </w:p>
          <w:p w14:paraId="5B8C45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 其他</w:t>
            </w:r>
          </w:p>
        </w:tc>
      </w:tr>
    </w:tbl>
    <w:p w14:paraId="0717A0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67B38"/>
    <w:rsid w:val="2704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256</Characters>
  <Lines>0</Lines>
  <Paragraphs>0</Paragraphs>
  <TotalTime>0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2026-07-14T08:24:00Z</dcterms:created>
  <dc:creator>15220</dc:creator>
  <cp:lastModifiedBy>Rasor-</cp:lastModifiedBy>
  <dcterms:modified xsi:type="dcterms:W3CDTF">2026-07-14T08:25:26Z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eyJoZGlkIjoiNTY2YjdkNGNmN2RjOTgzZWRhNWMxYjg4NGM0MGRkNjYiLCJ1c2VySWQiOiI2NDE3NTQzNjAifQ==</vt:lpwstr>
  </property>
  <property fmtid="{D5CDD505-2E9C-101B-9397-08002B2CF9AE}" pid="4" name="ICV">
    <vt:lpwstr>44E55EB5CF13440F93DCCA8DE122AEE2_12</vt:lpwstr>
  </property>
</Properties>
</file>